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C" w:rsidRDefault="007B56EC" w:rsidP="007B56EC">
      <w:pPr>
        <w:spacing w:line="570" w:lineRule="exac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cs="仿宋_GB2312" w:hint="eastAsia"/>
          <w:color w:val="000000"/>
          <w:sz w:val="32"/>
          <w:szCs w:val="32"/>
          <w:shd w:val="clear" w:color="auto" w:fill="FFFFFF"/>
        </w:rPr>
        <w:t>2</w:t>
      </w:r>
    </w:p>
    <w:p w:rsidR="007B56EC" w:rsidRDefault="007B56EC" w:rsidP="007B56EC"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color w:val="000000"/>
          <w:sz w:val="44"/>
          <w:szCs w:val="44"/>
        </w:rPr>
      </w:pPr>
    </w:p>
    <w:p w:rsidR="007B56EC" w:rsidRDefault="007B56EC" w:rsidP="007B56EC"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温州市人才住房租售并举实施办法</w:t>
      </w:r>
    </w:p>
    <w:p w:rsidR="007B56EC" w:rsidRDefault="007B56EC" w:rsidP="007B56EC"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color w:val="000000"/>
          <w:sz w:val="44"/>
          <w:szCs w:val="44"/>
        </w:rPr>
      </w:pPr>
      <w:r>
        <w:rPr>
          <w:rFonts w:eastAsia="方正小标宋简体" w:cs="方正小标宋简体" w:hint="eastAsia"/>
          <w:color w:val="000000"/>
          <w:sz w:val="44"/>
          <w:szCs w:val="44"/>
        </w:rPr>
        <w:t>贡献积分指标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</w:p>
    <w:p w:rsidR="007B56EC" w:rsidRDefault="007B56EC" w:rsidP="007B56EC">
      <w:pPr>
        <w:adjustRightInd w:val="0"/>
        <w:snapToGrid w:val="0"/>
        <w:spacing w:line="570" w:lineRule="exact"/>
        <w:ind w:firstLineChars="200" w:firstLine="640"/>
        <w:outlineLvl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根据《温州市人才住房租售并举实施办法》（温委办发〔</w:t>
      </w:r>
      <w:r>
        <w:rPr>
          <w:rFonts w:eastAsia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eastAsia="仿宋_GB2312" w:cs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号）第四条规定要求，现设定中小学（幼儿园）、医疗卫生机构人才贡献积分指标及分值，具体如下：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一、贡献成果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（采取积分制，可叠加计分）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.论文类：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第一作者或通讯作者发表</w:t>
      </w:r>
      <w:r>
        <w:rPr>
          <w:rFonts w:ascii="Times New Roman" w:eastAsia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、</w:t>
      </w:r>
      <w:r>
        <w:rPr>
          <w:rFonts w:ascii="Times New Roman" w:eastAsia="仿宋_GB2312" w:cs="仿宋_GB2312" w:hint="eastAsia"/>
          <w:sz w:val="32"/>
          <w:szCs w:val="32"/>
        </w:rPr>
        <w:t>SSCI</w:t>
      </w:r>
      <w:r>
        <w:rPr>
          <w:rFonts w:ascii="仿宋_GB2312" w:eastAsia="仿宋_GB2312" w:hAnsi="仿宋_GB2312" w:cs="仿宋_GB2312" w:hint="eastAsia"/>
          <w:sz w:val="32"/>
          <w:szCs w:val="32"/>
        </w:rPr>
        <w:t>一区收录论文（或《中国社会科学》《新华文摘》全文转载）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>
        <w:rPr>
          <w:rFonts w:ascii="Times New Roman" w:eastAsia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Times New Roman" w:eastAsia="仿宋_GB2312" w:cs="仿宋_GB2312" w:hint="eastAsia"/>
          <w:sz w:val="32"/>
          <w:szCs w:val="32"/>
        </w:rPr>
        <w:t>SSCI</w:t>
      </w:r>
      <w:r>
        <w:rPr>
          <w:rFonts w:ascii="仿宋_GB2312" w:eastAsia="仿宋_GB2312" w:hAnsi="仿宋_GB2312" w:cs="仿宋_GB2312" w:hint="eastAsia"/>
          <w:sz w:val="32"/>
          <w:szCs w:val="32"/>
        </w:rPr>
        <w:t>二区收录论文（或</w:t>
      </w:r>
      <w:r>
        <w:rPr>
          <w:rFonts w:ascii="Times New Roman" w:eastAsia="仿宋_GB2312" w:cs="仿宋_GB2312" w:hint="eastAsia"/>
          <w:sz w:val="32"/>
          <w:szCs w:val="32"/>
        </w:rPr>
        <w:t>AHCI</w:t>
      </w:r>
      <w:r>
        <w:rPr>
          <w:rFonts w:ascii="仿宋_GB2312" w:eastAsia="仿宋_GB2312" w:hAnsi="仿宋_GB2312" w:cs="仿宋_GB2312" w:hint="eastAsia"/>
          <w:sz w:val="32"/>
          <w:szCs w:val="32"/>
        </w:rPr>
        <w:t>源期刊、浙大标准人文社科类权威期刊论文）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篇计</w:t>
      </w:r>
      <w:r>
        <w:rPr>
          <w:rFonts w:ascii="Times New Roman" w:eastAsia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>
        <w:rPr>
          <w:rFonts w:ascii="Times New Roman" w:eastAsia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Times New Roman" w:eastAsia="仿宋_GB2312" w:cs="仿宋_GB2312" w:hint="eastAsia"/>
          <w:sz w:val="32"/>
          <w:szCs w:val="32"/>
        </w:rPr>
        <w:t>SSCI</w:t>
      </w:r>
      <w:r>
        <w:rPr>
          <w:rFonts w:ascii="仿宋_GB2312" w:eastAsia="仿宋_GB2312" w:hAnsi="仿宋_GB2312" w:cs="仿宋_GB2312" w:hint="eastAsia"/>
          <w:sz w:val="32"/>
          <w:szCs w:val="32"/>
        </w:rPr>
        <w:t>三区收录论文（或浙大标准人文社科类一级期刊论文）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篇计</w:t>
      </w:r>
      <w:r>
        <w:rPr>
          <w:rFonts w:ascii="Times New Roman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>
        <w:rPr>
          <w:rFonts w:ascii="Times New Roman" w:eastAsia="仿宋_GB2312" w:cs="仿宋_GB2312" w:hint="eastAsia"/>
          <w:sz w:val="32"/>
          <w:szCs w:val="32"/>
        </w:rPr>
        <w:t>SCI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Times New Roman" w:eastAsia="仿宋_GB2312" w:cs="仿宋_GB2312" w:hint="eastAsia"/>
          <w:sz w:val="32"/>
          <w:szCs w:val="32"/>
        </w:rPr>
        <w:t>SSCI</w:t>
      </w:r>
      <w:r>
        <w:rPr>
          <w:rFonts w:ascii="仿宋_GB2312" w:eastAsia="仿宋_GB2312" w:hAnsi="仿宋_GB2312" w:cs="仿宋_GB2312" w:hint="eastAsia"/>
          <w:sz w:val="32"/>
          <w:szCs w:val="32"/>
        </w:rPr>
        <w:t>四区收录论文（或</w:t>
      </w:r>
      <w:r>
        <w:rPr>
          <w:rFonts w:ascii="Times New Roman" w:eastAsia="仿宋_GB2312" w:cs="仿宋_GB2312" w:hint="eastAsia"/>
          <w:sz w:val="32"/>
          <w:szCs w:val="32"/>
        </w:rPr>
        <w:t>CSSC</w:t>
      </w:r>
      <w:r>
        <w:rPr>
          <w:rFonts w:ascii="仿宋_GB2312" w:eastAsia="仿宋_GB2312" w:hAnsi="仿宋_GB2312" w:cs="仿宋_GB2312" w:hint="eastAsia"/>
          <w:sz w:val="32"/>
          <w:szCs w:val="32"/>
        </w:rPr>
        <w:t>Ⅰ来源期刊论文）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篇计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.专利类：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授权发明专利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分，授权实用新型专利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分，授权外观设计专利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分，计算机软件著作权登记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.课题类：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主持国家级科研项目计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分、省部级科研项目计 </w:t>
      </w:r>
      <w:r>
        <w:rPr>
          <w:rFonts w:ascii="Times New Roman" w:eastAsia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分、市厅级重大科研项目计</w:t>
      </w:r>
      <w:r>
        <w:rPr>
          <w:rFonts w:ascii="Times New Roman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分、市厅级一般项目计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分，参与国家级重大、重点科研项目(排名前</w:t>
      </w:r>
      <w:r>
        <w:rPr>
          <w:rFonts w:ascii="Times New Roman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位)计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分，课题类不包括会议资助项目和自筹项目；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lastRenderedPageBreak/>
        <w:t>4</w:t>
      </w:r>
      <w:r>
        <w:rPr>
          <w:rFonts w:ascii="楷体" w:eastAsia="楷体" w:hAnsi="楷体" w:cs="楷体" w:hint="eastAsia"/>
          <w:sz w:val="32"/>
          <w:szCs w:val="32"/>
        </w:rPr>
        <w:t>.标准类：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为主制修订国际标准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分、国家标准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分、行业标准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项计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分，参与制修订积分减半计算；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>.奖项类：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市级及以上科学技术重大贡献奖、技术发明奖、科学技术进步奖一等奖、二等奖、三等奖获得者（前</w:t>
      </w:r>
      <w:r>
        <w:rPr>
          <w:rFonts w:ascii="Times New Roman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完成人）计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>.考核类：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近五年年度考核等次优秀</w:t>
      </w: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次计</w:t>
      </w:r>
      <w:r>
        <w:rPr>
          <w:rFonts w:ascii="Times New Roman" w:eastAsia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>.其他类：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技术转让项目技术交易额累计达到</w:t>
      </w:r>
      <w:r>
        <w:rPr>
          <w:rFonts w:ascii="Times New Roman" w:eastAsia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万及以上计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二、荣誉称号</w:t>
      </w:r>
      <w:r>
        <w:rPr>
          <w:rFonts w:ascii="仿宋_GB2312" w:eastAsia="仿宋_GB2312" w:hAnsi="仿宋_GB2312" w:cs="仿宋_GB2312" w:hint="eastAsia"/>
          <w:sz w:val="32"/>
          <w:szCs w:val="32"/>
        </w:rPr>
        <w:t>（采取达标制，获得一项即计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.县级及以上“劳动模范”“模范”“五一劳动奖”；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健部门认定的相当层次荣誉称号获得者。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三、学历职称</w:t>
      </w:r>
      <w:r>
        <w:rPr>
          <w:rFonts w:ascii="仿宋_GB2312" w:eastAsia="仿宋_GB2312" w:hAnsi="仿宋_GB2312" w:cs="仿宋_GB2312" w:hint="eastAsia"/>
          <w:sz w:val="32"/>
          <w:szCs w:val="32"/>
        </w:rPr>
        <w:t>（采取附加分制，选择一个项目计分）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.毕业于国内“双一流”建设高校（学科）计</w:t>
      </w:r>
      <w:r>
        <w:rPr>
          <w:rFonts w:ascii="Times New Roman" w:eastAsia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24"/>
        <w:textAlignment w:val="auto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Times New Roman" w:eastAsia="仿宋_GB2312" w:cs="仿宋_GB2312" w:hint="eastAsia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.毕业于泰晤士高等教育世界大学排名前</w:t>
      </w:r>
      <w:r>
        <w:rPr>
          <w:rFonts w:ascii="Times New Roman" w:eastAsia="仿宋_GB2312" w:cs="仿宋_GB2312" w:hint="eastAsia"/>
          <w:spacing w:val="-4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高校计</w:t>
      </w:r>
      <w:r>
        <w:rPr>
          <w:rFonts w:ascii="Times New Roman" w:eastAsia="仿宋_GB2312" w:cs="仿宋_GB2312" w:hint="eastAsia"/>
          <w:spacing w:val="-4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.取得全日制硕士研究生学历计</w:t>
      </w:r>
      <w:r>
        <w:rPr>
          <w:rFonts w:ascii="Times New Roman" w:eastAsia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40"/>
        <w:textAlignment w:val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.在医疗卫生机构工作取得副高以上职称计</w:t>
      </w:r>
      <w:r>
        <w:rPr>
          <w:rFonts w:ascii="Times New Roman" w:eastAsia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分；</w:t>
      </w:r>
    </w:p>
    <w:p w:rsidR="00284707" w:rsidRPr="007B56EC" w:rsidRDefault="007B56EC" w:rsidP="007B56EC">
      <w:pPr>
        <w:pStyle w:val="a5"/>
        <w:spacing w:before="0" w:beforeAutospacing="0" w:after="0" w:afterAutospacing="0" w:line="570" w:lineRule="exact"/>
        <w:ind w:firstLineChars="200" w:firstLine="624"/>
        <w:textAlignment w:val="auto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Times New Roman" w:eastAsia="仿宋_GB2312" w:cs="仿宋_GB2312" w:hint="eastAsia"/>
          <w:spacing w:val="-4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.在中小学（幼儿园）工作，取得中级及以上职称计</w:t>
      </w:r>
      <w:r>
        <w:rPr>
          <w:rFonts w:ascii="Times New Roman" w:eastAsia="仿宋_GB2312" w:cs="仿宋_GB2312" w:hint="eastAsia"/>
          <w:spacing w:val="-4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分。</w:t>
      </w:r>
    </w:p>
    <w:sectPr w:rsidR="00284707" w:rsidRPr="007B56EC" w:rsidSect="0028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F5A"/>
    <w:rsid w:val="00284707"/>
    <w:rsid w:val="007B56EC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D2F5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ody Text First Indent"/>
    <w:basedOn w:val="a3"/>
    <w:link w:val="Char0"/>
    <w:uiPriority w:val="99"/>
    <w:semiHidden/>
    <w:unhideWhenUsed/>
    <w:rsid w:val="00FD2F5A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FD2F5A"/>
  </w:style>
  <w:style w:type="paragraph" w:styleId="a5">
    <w:name w:val="Normal (Web)"/>
    <w:basedOn w:val="a"/>
    <w:qFormat/>
    <w:rsid w:val="007B56EC"/>
    <w:pPr>
      <w:spacing w:before="100" w:beforeAutospacing="1" w:after="100" w:afterAutospacing="1" w:line="351" w:lineRule="atLeast"/>
      <w:ind w:firstLine="419"/>
      <w:textAlignment w:val="baseline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lgrmt</dc:creator>
  <cp:lastModifiedBy>lgrmt</cp:lastModifiedBy>
  <cp:revision>2</cp:revision>
  <dcterms:created xsi:type="dcterms:W3CDTF">2020-11-04T10:56:00Z</dcterms:created>
  <dcterms:modified xsi:type="dcterms:W3CDTF">2020-11-04T10:56:00Z</dcterms:modified>
</cp:coreProperties>
</file>